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SN-2930 (Sachsen) — In-Kraft-Treten; Außer-Kraft-Treten</w:t>
      </w:r>
    </w:p>
    <w:p>
      <w:r>
        <w:rPr>
          <w:color w:val="555555"/>
          <w:sz w:val="18"/>
        </w:rPr>
        <w:t xml:space="preserve">Verordnung der Sächsischen Staatsregierung zur Übertragung von Zuständigkeiten nach dem Bundeswahlgesetz und dem Europawahlgesetz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der Sächsischen Staatsregierung zur Übertragung von Zuständigkeiten nach dem Bundeswahl- und dem Europawahlgesetz (BWG-EuWG-ZustVO ) vom 23. November 1993 (SächsGVBl. S. 1104) außer Kraft.</w:t>
      </w:r>
    </w:p>
    <w:p>
      <w:r>
        <w:t xml:space="preserve">Dresden, den 16. April 2002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3 SN-2930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