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SN-2897 (Sachsen)</w:t>
      </w:r>
    </w:p>
    <w:p>
      <w:r>
        <w:rPr>
          <w:color w:val="555555"/>
          <w:sz w:val="18"/>
        </w:rPr>
        <w:t xml:space="preserve">Verordnung der Sächsischen Staatsregierung zur Übertragung von Ermächtigungen nach dem Grundsteuergesetz und dem Gewerbesteuergesetz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1994 in Kraft.</w:t>
      </w:r>
    </w:p>
    <w:p>
      <w:r>
        <w:t xml:space="preserve">Dresden, den 15. März 1994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Finanzen</w:t>
      </w:r>
    </w:p>
    <w:p>
      <w:r>
        <w:t xml:space="preserve">Prof. Dr. Georg Milbradt</w:t>
      </w:r>
    </w:p>
    <w:p>
      <w:r>
        <w:rPr>
          <w:color w:val="555555"/>
          <w:sz w:val="17"/>
        </w:rPr>
        <w:t xml:space="preserve">Zitiervorschlag: § 2 SN-2897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https://recht.nulegal.eu/gesetze/SN-2897/2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