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SN-2850 (Sachsen)</w:t>
      </w:r>
    </w:p>
    <w:p>
      <w:r>
        <w:rPr>
          <w:color w:val="555555"/>
          <w:sz w:val="18"/>
        </w:rPr>
        <w:t xml:space="preserve">Verordnung der Staatsregierung über Zuständigkeiten im Staatsangehörigkeitsrecht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Aufgaben der Landkreise und Kreisfreien Städte nach § 1 sind Weisungsaufgaben. Das Weisungsrecht ist unbeschränkt.</w:t>
      </w:r>
    </w:p>
    <w:p>
      <w:r>
        <w:t xml:space="preserve">(2) Fachaufsichtsbehörden sind die Landesdirektion Sachsen und das Staatsministerium des Innern.</w:t>
      </w:r>
    </w:p>
    <w:p>
      <w:r>
        <w:rPr>
          <w:color w:val="555555"/>
          <w:sz w:val="17"/>
        </w:rPr>
        <w:t xml:space="preserve">Zitiervorschlag: § 2 SN-2850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https://recht.nulegal.eu/gesetze/SN-2850/2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