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SN-2850 (Sachsen)</w:t>
      </w:r>
    </w:p>
    <w:p>
      <w:r>
        <w:rPr>
          <w:color w:val="555555"/>
          <w:sz w:val="18"/>
        </w:rPr>
        <w:t xml:space="preserve">Verordnung der Staatsregierung über Zuständigkeiten im Staatsangehörigkeitsrecht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Vollzug des Reichs- und Staatsangehörigkeitsgesetzes und der sonstigen staatsangehörigkeitsrechtlichen Vorschriften sind die Landkreise und Kreisfreien Städte zuständig.</w:t>
      </w:r>
    </w:p>
    <w:p>
      <w:r>
        <w:rPr>
          <w:color w:val="555555"/>
          <w:sz w:val="17"/>
        </w:rPr>
        <w:t xml:space="preserve">Zitiervorschlag: § 1 SN-2850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https://recht.nulegal.eu/gesetze/SN-2850/1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