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SN-2746 (Sachsen)</w:t>
      </w:r>
    </w:p>
    <w:p>
      <w:r>
        <w:rPr>
          <w:color w:val="555555"/>
          <w:sz w:val="18"/>
        </w:rPr>
        <w:t xml:space="preserve">Gesetz zu dem Staatsvertrag zwischen dem Freistaat Sachsen und dem Land Thüringen über die Änderung der gemeinsamen Landesgrenze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seiner Verkündung in Kraft.</w:t>
      </w:r>
    </w:p>
    <w:p>
      <w:r>
        <w:t xml:space="preserve">Das vorstehende Gesetz wird hiermit ausgefertigt und ist zu verkünden.</w:t>
      </w:r>
    </w:p>
    <w:p>
      <w:r>
        <w:t xml:space="preserve">Dresden, 4. März 1992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des Innern</w:t>
      </w:r>
    </w:p>
    <w:p>
      <w:r>
        <w:t xml:space="preserve">Heinz Eggert</w:t>
      </w:r>
    </w:p>
    <w:p>
      <w:r>
        <w:rPr>
          <w:color w:val="555555"/>
          <w:sz w:val="17"/>
        </w:rPr>
        <w:t xml:space="preserve">Zitiervorschlag: Artikel 2 SN-2746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https://recht.nulegal.eu/gesetze/SN-2746/2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