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SN-2677 (Sachsen) — Inkrafttreten</w:t>
      </w:r>
    </w:p>
    <w:p>
      <w:r>
        <w:rPr>
          <w:color w:val="555555"/>
          <w:sz w:val="18"/>
        </w:rPr>
        <w:t xml:space="preserve">Gesetz über die Errichtung des Sächsischen Kultursenats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 Das vorstehende Gesetz wird hiermit ausgefertigt und ist zu verkünden.</w:t>
      </w:r>
    </w:p>
    <w:p>
      <w:r>
        <w:t xml:space="preserve">Dresden, den 17. Mai 1993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für Wissenschaft und Kunst</w:t>
      </w:r>
    </w:p>
    <w:p>
      <w:r>
        <w:t xml:space="preserve">Prof. Dr. Hans Joachim Meyer</w:t>
      </w:r>
    </w:p>
    <w:p>
      <w:r>
        <w:rPr>
          <w:color w:val="555555"/>
          <w:sz w:val="17"/>
        </w:rPr>
        <w:t xml:space="preserve">Zitiervorschlag: § 8 SN-2677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https://recht.nulegal.eu/gesetze/SN-2677/8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