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SN-2677 (Sachsen) — Geschäftsordnung, Sitzungsperiode, außerordentliche Sitzungen, Geschäftsstelle</w:t>
      </w:r>
    </w:p>
    <w:p>
      <w:r>
        <w:rPr>
          <w:color w:val="555555"/>
          <w:sz w:val="18"/>
        </w:rPr>
        <w:t xml:space="preserve">Gesetz über die Errichtung des Sächsischen Kultursenats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Gründungssenat verabschiedet mit einfacher Mehrheit eine Geschäftsordnung auf der Grundlage eines Vorschlages des Präsidenten des Sächsischen Kultursenats.</w:t>
      </w:r>
    </w:p>
    <w:p>
      <w:r>
        <w:t xml:space="preserve">(2) Der Sächsische Kultursenat tagt zweimal im Kalenderjahr. Die Sitzungen werden durch den Präsidenten einberufen.</w:t>
      </w:r>
    </w:p>
    <w:p>
      <w:r>
        <w:t xml:space="preserve">(3) Außerordentliche Sitzungen können einberufen werden durch den Präsidenten oder auf Grund eines schriftlichen Antrages von mindestens zehn der gewählten Senatoren.</w:t>
      </w:r>
    </w:p>
    <w:p>
      <w:r>
        <w:t xml:space="preserve">(4) Zur Wahrnehmung der laufenden Geschäfte des Sächsischen Kultursenats wird durch das Sächsische Staatsministerium für Wissenschaft und Kunst bei der Kulturstiftung des Freistaates Sachsen eine Geschäftsstelle eingerichtet.</w:t>
      </w:r>
    </w:p>
    <w:p>
      <w:r>
        <w:rPr>
          <w:color w:val="555555"/>
          <w:sz w:val="17"/>
        </w:rPr>
        <w:t xml:space="preserve">Zitiervorschlag: § 6 SN-2677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https://recht.nulegal.eu/gesetze/SN-2677/6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