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SN-2634 (Sachsen) — Räumliche Abgrenzung der Nahverkehrspläne</w:t>
      </w:r>
    </w:p>
    <w:p>
      <w:r>
        <w:rPr>
          <w:color w:val="555555"/>
          <w:sz w:val="18"/>
        </w:rPr>
        <w:t xml:space="preserve">Verordnung des Sächsischen Staatsministeriums für Wirtschaft, Arbeit und Verkehr über die Aufstellung von Nahverkehrsplänen für den öffentlichen Personennahverkehr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Nahverkehrspläne nach § 5 Abs. 1 ÖPNVG gelten für folgende Gebiete:</w:t>
      </w:r>
    </w:p>
    <w:p>
      <w:r>
        <w:t xml:space="preserve">1. Im Nahverkehrsraum Vogtland für das Gebiet des Vogtlandkreises;</w:t>
      </w:r>
    </w:p>
    <w:p>
      <w:r>
        <w:t xml:space="preserve">2. im Nahverkehrsraum Chemnitz/Zwickau für die Gebiete der Kreisfreien Stadt Chemnitz, der Landkreise Mittelsachsen und Zwickau sowie des Erzgebirgskreises;</w:t>
      </w:r>
    </w:p>
    <w:p>
      <w:r>
        <w:t xml:space="preserve">3. im Nahverkehrsraum Leipzig für die Gebiete der Kreisfreien Stadt Leipzig, der Landkreise Leipzig und Nordsachsen;</w:t>
      </w:r>
    </w:p>
    <w:p>
      <w:r>
        <w:t xml:space="preserve">4. im Nahverkehrsraum Oberelbe für die Gebiete der Kreisfreien Stadt Dresden, der Landkreise Bautzen, Meißen und Sächsische Schweiz-Osterzgebirge;</w:t>
      </w:r>
    </w:p>
    <w:p>
      <w:r>
        <w:t xml:space="preserve">5. im Nahverkehrsraum Oberlausitz/Niederschlesien für die Landkreise Bautzen und Görlitz.</w:t>
      </w:r>
    </w:p>
    <w:p>
      <w:r>
        <w:rPr>
          <w:color w:val="555555"/>
          <w:sz w:val="17"/>
        </w:rPr>
        <w:t xml:space="preserve">Zitiervorschlag: § 2 SN-2634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https://recht.nulegal.eu/gesetze/SN-2634/2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