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SN-2535 (Sachsen)</w:t>
      </w:r>
    </w:p>
    <w:p>
      <w:r>
        <w:rPr>
          <w:color w:val="555555"/>
          <w:sz w:val="18"/>
        </w:rPr>
        <w:t xml:space="preserve">Verordnung des Sächsischen Staatsministeriums des Innern über Pauschalgebührensätze für die Benutzung von Einrichtungen der öffentlichen Wasserversorgung und Abwasserbeseitigung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37 Abs. 2 des Sächsischen Kommunalabgabengesetzes ( SächsKAG ) vom 16. Juni 1993 (SächsGVBl. S. 502) wird im Einvernehmen mit dem Staatsministerium der Finanzen verordnet:</w:t>
      </w:r>
    </w:p>
    <w:p>
      <w:r>
        <w:rPr>
          <w:color w:val="555555"/>
          <w:sz w:val="17"/>
        </w:rPr>
        <w:t xml:space="preserve">Zitiervorschlag: Eingangsformel SN-2535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https://recht.nulegal.eu/gesetze/SN-2535/eingangsformel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