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SN-2535 (Sachsen) — Kostenüberdeckungen</w:t>
      </w:r>
    </w:p>
    <w:p>
      <w:r>
        <w:rPr>
          <w:color w:val="555555"/>
          <w:sz w:val="18"/>
        </w:rPr>
        <w:t xml:space="preserve">Verordnung des Sächsischen Staatsministeriums des Innern über Pauschalgebührensätze für die Benutzung von Einrichtungen der öffentlichen Wasserversorgung und Abwasserbeseitigung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Solange Benutzungsgebühren auf der Grundlage dieser Verordnung erhoben werden, wird die Anwendung der Vorschrift des § 10 Abs. 2 Satz 2 SächsKAG ausgesetzt. Kostenüberdeckungen sind für die Einrichtung zweckgebunden (§ 14 Abs. 3 Nr. 1 GemHVO ). Die zweckgebundenen Mittel können auch zum Ausgleich von Kostenunterdeckungen der Einrichtung aus anderen, vom Geltungsbereich des SächsKAG erfaßten Perioden verwendet werden.</w:t>
      </w:r>
    </w:p>
    <w:p>
      <w:r>
        <w:t xml:space="preserve">(2) Kostenüberdeckungen werden durch Vergleich der in der Haushaltsrechnung für die Einrichtung nachgewiesenen Einnahmen und Ausgaben festgestellt.</w:t>
      </w:r>
    </w:p>
    <w:p>
      <w:r>
        <w:rPr>
          <w:color w:val="555555"/>
          <w:sz w:val="17"/>
        </w:rPr>
        <w:t xml:space="preserve">Zitiervorschlag: § 3 SN-2535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https://recht.nulegal.eu/gesetze/SN-2535/3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