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SN-2522 (Sachsen) — Anwendung anderer Rechtsvorschriften</w:t>
      </w:r>
    </w:p>
    <w:p>
      <w:r>
        <w:rPr>
          <w:color w:val="555555"/>
          <w:sz w:val="18"/>
        </w:rPr>
        <w:t xml:space="preserve">Lehrkräfte-Anerkennungsgesetz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über die Feststellung der Gleichwertigkeit von Berufsqualifikationen (Sächsisches Berufsqualifikationsfeststellunggesetz – SächsBQFG ) vom 17. Dezember 2013 (SächsGVBl. S. 874), in der jeweils geltenden Fassung, findet mit Ausnahme des § 16 keine Anwendung.</w:t>
      </w:r>
    </w:p>
    <w:p>
      <w:r>
        <w:rPr>
          <w:color w:val="555555"/>
          <w:sz w:val="17"/>
        </w:rPr>
        <w:t xml:space="preserve">Zitiervorschlag: § 14 SN-2522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https://recht.nulegal.eu/gesetze/SN-2522/14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