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SN-2434 (Sachsen)</w:t>
      </w:r>
    </w:p>
    <w:p>
      <w:r>
        <w:rPr>
          <w:color w:val="555555"/>
          <w:sz w:val="18"/>
        </w:rPr>
        <w:t xml:space="preserve">Verordnung der Sächsischen Staatsregierung und des Sächsischen Staatsministeriums für Soziales über Zuständigkeiten im Bereich der Heilberufe und Pharmazie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</w:t>
      </w:r>
    </w:p>
    <w:p>
      <w:r>
        <w:t xml:space="preserve">1. durch die Staatsregierung aufgrund von</w:t>
      </w:r>
    </w:p>
    <w:p>
      <w:r>
        <w:t xml:space="preserve">a)</w:t>
      </w:r>
    </w:p>
    <w:p>
      <w:r>
        <w:t xml:space="preserve">§ 12 Abs. 4 der Bundes-Apothekerordnung in der Fassung der Bekanntmachung vom 19. Juli 1989 (BGBl. I S. 1478, 1842), die zuletzt durch Artikel 1 des Gesetzes vom 15. Juni 2005 (BGBl. I S. 1645) geändert worden ist,</w:t>
      </w:r>
    </w:p>
    <w:p>
      <w:r>
        <w:t xml:space="preserve">b)</w:t>
      </w:r>
    </w:p>
    <w:p>
      <w:r>
        <w:t xml:space="preserve">§ 9 Abs. 2 des Gesetzes über den Beruf des pharmazeutisch-technischen Assistenten in der Fassung der Bekanntmachung vom 23. September 1997 (BGBl. I S. 2349), das zuletzt durch Artikel 5 des Gesetzes vom 15. Juni 2005 (BGBl. I S. 1645, 1651) geändert worden ist,</w:t>
      </w:r>
    </w:p>
    <w:p>
      <w:r>
        <w:t xml:space="preserve">2. durch das Staatsministerium für Soziales aufgrund von</w:t>
      </w:r>
    </w:p>
    <w:p>
      <w:r>
        <w:t xml:space="preserve">a)</w:t>
      </w:r>
    </w:p>
    <w:p>
      <w:r>
        <w:t xml:space="preserve">§ 16 Abs. 1 Satz 2 Nr. 2 des Gesetzes über die Verwaltungsorganisation des Freistaates Sachsen (Sächsisches Verwaltungsorganisationsgesetz – SächsVwOrgG ) vom 25. November 2003 (SächsGVBl. S. 899), das zuletzt durch Artikel 2 des Gesetzes vom 9. September 2005 (SächsGVBl. S. 257, 258) geändert worden ist, mit Zustimmung der Staatsregierung,</w:t>
      </w:r>
    </w:p>
    <w:p>
      <w:r>
        <w:t xml:space="preserve">b)</w:t>
      </w:r>
    </w:p>
    <w:p>
      <w:r>
        <w:t xml:space="preserve">§ 1 Abs. 1 und 3 des Gesetzes über den Vollzug des Berufsrechts der akademischen Heilberufe und der Gesundheitsfachberufe sowie der arzneimittel- und apothekenrechtlichen Vorschriften (Heilberufezuständigkeitsgesetz – HeilbZuG ) vom 9. Februar 2004 (SächsGVBl. S. 41), das durch Artikel 2 des Gesetzes vom 11. November 2005 (SächsGVBl. S. 277, 282) geändert worden ist, im Einvernehmen mit dem Staatsministerium des Innern,</w:t>
      </w:r>
    </w:p>
    <w:p>
      <w:r>
        <w:t xml:space="preserve">c)</w:t>
      </w:r>
    </w:p>
    <w:p>
      <w:r>
        <w:t xml:space="preserve">§ 5 Abs. 2 des Gesetzes über Berufsausübung, Berufsvertretungen und Berufsgerichtsbarkeit der Ärzte, Zahnärzte, Tierärzte und Apotheker im Freistaat Sachsen (Sächsisches Heilberufekammergesetz – SächsHKaG ) vom 24. Mai 1994 (SächsGVBl. S. 935), das zuletzt durch Artikel 1 des Gesetzes vom 11. November 2005 (SächsGVBl. S. 277) geändert worden ist, mit Zustimmung der Sächsischen Landesapothekerkammer,</w:t>
      </w:r>
    </w:p>
    <w:p>
      <w:r>
        <w:t xml:space="preserve">d)</w:t>
      </w:r>
    </w:p>
    <w:p>
      <w:r>
        <w:t xml:space="preserve">§ 27 Abs. 1 Satz 1 des Verwaltungskostengesetzes des Freistaates Sachsen ( SächsVwKG ) in der Fassung der Bekanntmachung vom 17. September 2003 (SächsGVBl. S. 698) im Einvernehmen mit dem Staatsministerium der Finanzen:</w:t>
      </w:r>
    </w:p>
    <w:p>
      <w:r>
        <w:rPr>
          <w:color w:val="555555"/>
          <w:sz w:val="17"/>
        </w:rPr>
        <w:t xml:space="preserve">Zitiervorschlag: Eingangsformel SN-2434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