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SN-2380 (Sachsen)</w:t>
      </w:r>
    </w:p>
    <w:p>
      <w:r>
        <w:rPr>
          <w:color w:val="555555"/>
          <w:sz w:val="18"/>
        </w:rPr>
        <w:t xml:space="preserve">Verordnung der Sächsischen Staatsregierung über die Zuständigkeiten nach dem Schutzbereichgesetz und dem Landesbeschaffungsgesetz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Enteignungsbehörde nach § 28 Abs. 1 des Landbeschaffungsgesetzes ist die Landesdirektion Sachsen.</w:t>
      </w:r>
    </w:p>
    <w:p>
      <w:r>
        <w:t xml:space="preserve">(2) Zuständige Behörde nach §§ 4 bis 6 Landbeschaffungsgesetz ist die Enteignungsbehörde.</w:t>
      </w:r>
    </w:p>
    <w:p>
      <w:r>
        <w:rPr>
          <w:color w:val="555555"/>
          <w:sz w:val="17"/>
        </w:rPr>
        <w:t xml:space="preserve">Zitiervorschlag: § 2 SN-2380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https://recht.nulegal.eu/gesetze/SN-2380/2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