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SN-2380 (Sachsen)</w:t>
      </w:r>
    </w:p>
    <w:p>
      <w:r>
        <w:rPr>
          <w:color w:val="555555"/>
          <w:sz w:val="18"/>
        </w:rPr>
        <w:t xml:space="preserve">Verordnung der Sächsischen Staatsregierung über die Zuständigkeiten nach dem Schutzbereichgesetz und dem Landesbeschaffungsgesetz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Festsetzungsbehörde nach § 17 des Schutzbereichgesetzes ist die Landesdirektion Sachsen.</w:t>
      </w:r>
    </w:p>
    <w:p>
      <w:r>
        <w:rPr>
          <w:color w:val="555555"/>
          <w:sz w:val="17"/>
        </w:rPr>
        <w:t xml:space="preserve">Zitiervorschlag: § 1 SN-2380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https://recht.nulegal.eu/gesetze/SN-2380/1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