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SN-2336 (Sachsen)</w:t>
      </w:r>
    </w:p>
    <w:p>
      <w:r>
        <w:rPr>
          <w:color w:val="555555"/>
          <w:sz w:val="18"/>
        </w:rPr>
        <w:t xml:space="preserve">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Brandenburg, Mecklenburg-Vorpommern,</w:t>
      </w:r>
    </w:p>
    <w:p>
      <w:r>
        <w:t xml:space="preserve">der Freistaat Sachsen und</w:t>
      </w:r>
    </w:p>
    <w:p>
      <w:r>
        <w:t xml:space="preserve">das Land Sachsen-Anhalt</w:t>
      </w:r>
    </w:p>
    <w:p>
      <w:r>
        <w:t xml:space="preserve">schließen im Bewußtsein der Verantwortung für eine funktionsfähige öffentlich-rechtliche Verbandsstruktur der Sparkassen und ihrer Träger sowie im Interesse der Wettbewerbsfähigkeit der Sparkassen und der Beachtung der regionalen Interessen nachstehenden</w:t>
      </w:r>
    </w:p>
    <w:p>
      <w:r>
        <w:t xml:space="preserve">Staatsvertrag:</w:t>
      </w:r>
    </w:p>
    <w:p>
      <w:r>
        <w:rPr>
          <w:color w:val="555555"/>
          <w:sz w:val="17"/>
        </w:rPr>
        <w:t xml:space="preserve">Zitiervorschlag: Eingangsformel SN-2336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https://recht.nulegal.eu/gesetze/SN-2336/eingangsformel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