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SN-2336 (Sachsen) — Sparkassenrecht</w:t>
      </w:r>
    </w:p>
    <w:p>
      <w:r>
        <w:rPr>
          <w:color w:val="555555"/>
          <w:sz w:val="18"/>
        </w:rPr>
        <w:t xml:space="preserve">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Vertragsländer erklären ihre Absicht, ein weitgehend einheitliches Sparkassenrecht gemeinsam zu erhalten und fortzuentwickeln.</w:t>
      </w:r>
    </w:p>
    <w:p>
      <w:r>
        <w:t xml:space="preserve">(2) Die Regelungen des Sparkassenstützungsfonds des Verbandes gelten auch für die Sparkassen der Sachsen-Finanzgruppe.</w:t>
      </w:r>
    </w:p>
    <w:p>
      <w:r>
        <w:t xml:space="preserve">(3) Ein Eintritt des Stützungsfonds wie bei Sparkassen mit einem unmittelbaren kommunalen Träger setzt voraus, dass die Sachsen-Finanzgruppe Aufgaben wahrnimmt, die der Ausübung von Kapitaleignerfunktionen bei öffentlich-rechtlichen Kreditinstituten gleichgesetzt werden können.</w:t>
      </w:r>
    </w:p>
    <w:p>
      <w:r>
        <w:rPr>
          <w:color w:val="555555"/>
          <w:sz w:val="17"/>
        </w:rPr>
        <w:t xml:space="preserve">Zitiervorschlag: § 8 SN-2336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https://recht.nulegal.eu/gesetze/SN-2336/8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