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SN-2336 (Sachsen) — Einnahmen</w:t>
      </w:r>
    </w:p>
    <w:p>
      <w:r>
        <w:rPr>
          <w:color w:val="555555"/>
          <w:sz w:val="18"/>
        </w:rPr>
        <w:t xml:space="preserve">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Einnahmen des Verbandes sind insbesondere die Verbandsumlage, Prüfungsgebühren, Zins-, Beteiligungs- und Grundstückserträge.</w:t>
      </w:r>
    </w:p>
    <w:p>
      <w:r>
        <w:t xml:space="preserve">(2) Der Verband hat bei der Bemessung der zur Deckung der Verbandskosten notwendigen Finanzierungsbeiträge die Inanspruchnahme von Verbandsleistungen in wirtschaftlich vertretbarem Umfang zu berücksichtigen.</w:t>
      </w:r>
    </w:p>
    <w:p>
      <w:r>
        <w:rPr>
          <w:color w:val="555555"/>
          <w:sz w:val="17"/>
        </w:rPr>
        <w:t xml:space="preserve">Zitiervorschlag: § 4 SN-2336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https://recht.nulegal.eu/gesetze/SN-2336/4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