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SN-2218 (Sachsen) — Verantwortlichkeit der Organmitglieder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Stiftungsorgane sind zur wirtschaftlichen und sparsamen Verwaltung der Stiftung verpflichtet.</w:t>
      </w:r>
    </w:p>
    <w:p>
      <w:r>
        <w:t xml:space="preserve">(2) Die Rechtsvorschriften des Freistaates Sachsen über das Haushalts-, Kassen- und Rechnungswesen sind entsprechend anzuwenden.</w:t>
      </w:r>
    </w:p>
    <w:p>
      <w:r>
        <w:rPr>
          <w:color w:val="555555"/>
          <w:sz w:val="17"/>
        </w:rPr>
        <w:t xml:space="preserve">Zitiervorschlag: § 9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