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SN-2218 (Sachsen) — Vermögensverwaltung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Stiftungsvermögen ist in seinem Bestand ungeschmälert zu erhalten. Geldmittel sind sicher und ertragbringend anzulegen.</w:t>
      </w:r>
    </w:p>
    <w:p>
      <w:r>
        <w:t xml:space="preserve">(2) Das Stiftungsvermögen ist von anderem Vermögen getrennt zu halten.</w:t>
      </w:r>
    </w:p>
    <w:p>
      <w:r>
        <w:t xml:space="preserve">(3) Mit Ausnahme des Heimfalls (§ 12 Abs. 2) darf Stiftungsvermögen nicht dem Vermögen des Staates, einer Gemeinde, eines Landkreises oder einer sonstigen Körperschaft oder Anstalt des öffentlichen Rechts einverleibt werden.</w:t>
      </w:r>
    </w:p>
    <w:p>
      <w:r>
        <w:t xml:space="preserve">(4) Die Stiftung ist berechtigt,</w:t>
      </w:r>
    </w:p>
    <w:p>
      <w:r>
        <w:t xml:space="preserve">1. Zustiftungen, die der Stärkung oder Vermehrung des Stiftungsvermögens dienen, sowie</w:t>
      </w:r>
    </w:p>
    <w:p>
      <w:r>
        <w:t xml:space="preserve">2. Zuwendungen, die zum Verbrauch bestimmt oder zur Erfüllung des Stiftungszweckes einzusetzen sind (Zuschüsse, insbesondere Spenden),</w:t>
      </w:r>
    </w:p>
    <w:p>
      <w:r>
        <w:t xml:space="preserve">von öffentlicher und privater Seite anzunehmen.</w:t>
      </w:r>
    </w:p>
    <w:p>
      <w:r>
        <w:rPr>
          <w:color w:val="555555"/>
          <w:sz w:val="17"/>
        </w:rPr>
        <w:t xml:space="preserve">Zitiervorschlag: § 4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