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SN-2218 (Sachsen) — Beendigung der Stiftung und Heimfall</w:t>
      </w:r>
    </w:p>
    <w:p>
      <w:r>
        <w:rPr>
          <w:color w:val="555555"/>
          <w:sz w:val="18"/>
        </w:rPr>
        <w:t xml:space="preserve">Gesetz zur Errichtung einer „Stiftung Sächsische Behindertenselbsthilfe – Otto Perl“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Stiftung kann nur durch Gesetz aufgehoben werden.</w:t>
      </w:r>
    </w:p>
    <w:p>
      <w:r>
        <w:t xml:space="preserve">(2) Im Fall der Aufhebung der Stiftung fällt ihr Vermögen an den Freistaat Sachsen.</w:t>
      </w:r>
    </w:p>
    <w:p>
      <w:r>
        <w:rPr>
          <w:color w:val="555555"/>
          <w:sz w:val="17"/>
        </w:rPr>
        <w:t xml:space="preserve">Zitiervorschlag: § 12 SN-2218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https://recht.nulegal.eu/gesetze/SN-2218/12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