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SN-2206 (Sachsen)</w:t>
      </w:r>
    </w:p>
    <w:p>
      <w:r>
        <w:rPr>
          <w:color w:val="555555"/>
          <w:sz w:val="18"/>
        </w:rPr>
        <w:t xml:space="preserve">Gesetz zu dem 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6 in Kraft tritt, ist im Sächsischen Gesetz- und Verordnungsblatt bekanntzugeben.</w:t>
      </w:r>
    </w:p>
    <w:p>
      <w:r>
        <w:t xml:space="preserve">Das vorstehende Gesetz wird hiermit ausgefertigt und ist zu verkünden.</w:t>
      </w:r>
    </w:p>
    <w:p>
      <w:r>
        <w:t xml:space="preserve">Dresden, den 9. Dezember 1998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Artikel 2 SN-2206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https://recht.nulegal.eu/gesetze/SN-2206/2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