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SN-21578 (Sachsen) — Inkrafttreten</w:t>
      </w:r>
    </w:p>
    <w:p>
      <w:r>
        <w:rPr>
          <w:color w:val="555555"/>
          <w:sz w:val="18"/>
        </w:rPr>
        <w:t xml:space="preserve">Sächsische Zulassungszahlenverordnung 2026/2027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15. Juli 2026 in Kraft.</w:t>
      </w:r>
    </w:p>
    <w:p>
      <w:r>
        <w:t xml:space="preserve">Dresden, den 1. Juni 2026</w:t>
      </w:r>
    </w:p>
    <w:p>
      <w:r>
        <w:t xml:space="preserve">Der Staatsminister für Wissenschaft, Kultur und Tourismus</w:t>
      </w:r>
    </w:p>
    <w:p>
      <w:r>
        <w:t xml:space="preserve">Sebastian Gemkow</w:t>
      </w:r>
    </w:p>
    <w:p>
      <w:r>
        <w:rPr>
          <w:color w:val="555555"/>
          <w:sz w:val="17"/>
        </w:rPr>
        <w:t xml:space="preserve">Zitiervorschlag: § 4 SN-21578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https://recht.nulegal.eu/gesetze/SN-21578/4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