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SN-21578 (Sachsen) — Außerkrafttreten</w:t>
      </w:r>
    </w:p>
    <w:p>
      <w:r>
        <w:rPr>
          <w:color w:val="555555"/>
          <w:sz w:val="18"/>
        </w:rPr>
        <w:t xml:space="preserve">Sächsische Zulassungszahlenverordnung 2026/2027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Sächsische Zulassungszahlenverordnung 2026/2027 tritt mit Inkrafttreten der Sächsischen Zulassungszahlenverordnung 2027/2028 außer Kraft.</w:t>
      </w:r>
    </w:p>
    <w:p>
      <w:r>
        <w:rPr>
          <w:color w:val="555555"/>
          <w:sz w:val="17"/>
        </w:rPr>
        <w:t xml:space="preserve">Zitiervorschlag: § 3 SN-21578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https://recht.nulegal.eu/gesetze/SN-21578/3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