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SN-21519 (Sachsen)</w:t>
      </w:r>
    </w:p>
    <w:p>
      <w:r>
        <w:rPr>
          <w:color w:val="555555"/>
          <w:sz w:val="18"/>
        </w:rPr>
        <w:t xml:space="preserve">Kommunalinvestitionskraftstärkungsverordnung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1. April 2026</w:t>
      </w:r>
    </w:p>
    <w:p>
      <w:r>
        <w:t xml:space="preserve">Die Staatsregierung verordnet aufgrund des § 8 des Sachsenfonds-Gesetzes vom 27. Juni 2025 (SächsGVBl. S. 285, 291):</w:t>
      </w:r>
    </w:p>
    <w:p>
      <w:r>
        <w:rPr>
          <w:color w:val="555555"/>
          <w:sz w:val="17"/>
        </w:rPr>
        <w:t xml:space="preserve">Zitiervorschlag: Eingangsformel SN-21519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https://recht.nulegal.eu/gesetze/SN-21519/eingangsformel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