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SN-21519 (Sachsen) — Maßnahmen des kommunalen Schulhausbaus</w:t>
      </w:r>
    </w:p>
    <w:p>
      <w:r>
        <w:rPr>
          <w:color w:val="555555"/>
          <w:sz w:val="18"/>
        </w:rPr>
        <w:t xml:space="preserve">Kommunalinvestitionskraftstärkungsverordnung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Anträge für Maßnahmen nach § 3 Absatz 1 Satz 2 Nummer 2 sind spätestens am 1. September 2027 vorzulegen. Dies gilt auch für das in § 7 Absatz 2 der Schulinfrastrukturverordnung geregelte Antragsverfahren für die kreisfreien Städte. Für Anträge, die bis zum 1. September 2026 vorliegen, stehen bis zu 70 Prozent des Mittelvolumens nach § 3 Absatz 1 Satz 2 Nummer 2 zur Verfügung.</w:t>
      </w:r>
    </w:p>
    <w:p>
      <w:r>
        <w:t xml:space="preserve">(2) Für die Gewährung von Zuweisungen nach § 3 Absatz 1 Satz 2 Nummer 2 und Absatz 3 sowie § 4 dieser Verordnung finden § 4 Absatz 5 Satz 1 und § 7 Absatz 2 Satz 3 Nummer 8 der Schulinfrastrukturverordnung keine Anwendung.</w:t>
      </w:r>
    </w:p>
    <w:p>
      <w:r>
        <w:rPr>
          <w:color w:val="555555"/>
          <w:sz w:val="17"/>
        </w:rPr>
        <w:t xml:space="preserve">Zitiervorschlag: § 6 SN-21519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