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SN-21519 (Sachsen) — Maßnahmen des kommunalen Straßenbaus einschließlich Ingenieurbauwerke</w:t>
      </w:r>
    </w:p>
    <w:p>
      <w:r>
        <w:rPr>
          <w:color w:val="555555"/>
          <w:sz w:val="18"/>
        </w:rPr>
        <w:t xml:space="preserve">Kommunalinvestitionskraftstärkungsverordnung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Mitteln nach § 3 Absatz 1 Satz 2 Nummer 1 entfallen</w:t>
      </w:r>
    </w:p>
    <w:p>
      <w:r>
        <w:t xml:space="preserve">1. auf die Stadt Dresden 16 Prozent,</w:t>
      </w:r>
    </w:p>
    <w:p>
      <w:r>
        <w:t xml:space="preserve">2. auf die Stadt Leipzig 16 Prozent,</w:t>
      </w:r>
    </w:p>
    <w:p>
      <w:r>
        <w:t xml:space="preserve">3. auf die Stadt Chemnitz 8 Prozent und</w:t>
      </w:r>
    </w:p>
    <w:p>
      <w:r>
        <w:t xml:space="preserve">4. auf die Landkreise einschließlich der kreisangehörigen Gemeinden 60 Prozent.</w:t>
      </w:r>
    </w:p>
    <w:p>
      <w:r>
        <w:t xml:space="preserve">(2) Aus den Mitteln nach Absatz 1 Nummer 4 werden für die Landkreise einschließlich ihrer kreisangehörigen Gemeinden Budgets gebildet in entsprechender Anwendung des § 20a Absatz 2 des Sächsischen Finanzausgleichsgesetzes . Maßgeblich ist das Straßenbestandsverzeichnis mit Stand vom 1. Januar 2025.</w:t>
      </w:r>
    </w:p>
    <w:p>
      <w:r>
        <w:t xml:space="preserve">(3) Die Landkreise erstellen im Einvernehmen mit dem jeweiligen Kreisverband des Sächsischen Städte- und Gemeindetages Prioritätenlisten als Grundlage für die jeweiligen maßnahmebezogenen Einzelförderanträge.</w:t>
      </w:r>
    </w:p>
    <w:p>
      <w:r>
        <w:t xml:space="preserve">(4) Anträge auf Erhöhung von Zuwendungen nach Teil B Abschnitt VI Nummer 1 Buchstabe b der Richtlinie des Sächsischen Staatsministeriums für Wirtschaft, Arbeit und Verkehr für die Förderung von Straßen- und Brückenbauvorhaben kommunaler Baulastträger sind nicht zugelassen.</w:t>
      </w:r>
    </w:p>
    <w:p>
      <w:r>
        <w:rPr>
          <w:color w:val="555555"/>
          <w:sz w:val="17"/>
        </w:rPr>
        <w:t xml:space="preserve">Zitiervorschlag: § 5 SN-21519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https://recht.nulegal.eu/gesetze/SN-21519/5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