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SN-21519 (Sachsen) — Zuweisungshöhe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Stärkung der kommunalen Investitionskraft stehen 2 830 230 000 Euro zur Verfügung. Davon entfallen auf Maßnahmen</w:t>
      </w:r>
    </w:p>
    <w:p>
      <w:r>
        <w:t xml:space="preserve">1. des kommunalen Straßenbaus einschließlich Ingenieurbauwerke 489 847 500 Euro,</w:t>
      </w:r>
    </w:p>
    <w:p>
      <w:r>
        <w:t xml:space="preserve">2. des kommunalen Schulhausbaus 489 847 500 Euro und</w:t>
      </w:r>
    </w:p>
    <w:p>
      <w:r>
        <w:t xml:space="preserve">3. des kommunalen Krankenhausbaus 108 855 000 Euro.</w:t>
      </w:r>
    </w:p>
    <w:p>
      <w:r>
        <w:t xml:space="preserve">Diese Maßnahmen gelten als Maßnahmen im besonderen Landesinteresse.</w:t>
      </w:r>
    </w:p>
    <w:p>
      <w:r>
        <w:t xml:space="preserve">(2) Soweit sich aus dieser Verordnung nichts anderes ergibt, gilt für Maßnahmen</w:t>
      </w:r>
    </w:p>
    <w:p>
      <w:r>
        <w:t xml:space="preserve">1. nach Absatz 1 Satz 2 Nummer 1 die Richtlinie des Sächsischen Staatsministeriums für Wirtschaft, Arbeit und Verkehr für die Förderung von Straßen- und Brückenbauvorhaben kommunaler Baulastträger vom 11. Mai 2023 (SächsABl. S. 620), zuletzt enthalten in der Verwaltungsvorschrift vom 5. Dezember 2025 (SächsABl. SDr. S. S 286), in der jeweils geltenden Fassung,</w:t>
      </w:r>
    </w:p>
    <w:p>
      <w:r>
        <w:t xml:space="preserve">2. nach Absatz 1 Satz 2 Nummer 2 die Schulinfrastrukturverordnung vom 22. Januar 2020 (SächsGVBl. S. 23), die durch die Verordnung vom 21. August 2024 (SächsGVBl. S. 814) geändert worden ist, in der jeweils geltenden Fassung, und</w:t>
      </w:r>
    </w:p>
    <w:p>
      <w:r>
        <w:t xml:space="preserve">3. nach Absatz 1 Satz 2 Nummer 3: § 14 Absatz 1 bis 5, 7 und 8 des Sächsischen Krankenhausgesetzes vom 15. Dezember 2022 (SächsGVBl. S. 752), das durch Artikel 2 Absatz 1 des Gesetzes vom 22. Juli 2024 (SächsGVBl. S. 673) geändert worden ist, in der jeweils geltenden Fassung, sowie § 12b des Krankenhausfinanzierungsgesetzes und die auf seiner Grundlage erlassenen Rechtsverordnungen.</w:t>
      </w:r>
    </w:p>
    <w:p>
      <w:r>
        <w:t xml:space="preserve">(3) Aus den verbleibenden Mitteln in Höhe von 1 741 680 000 Euro werden Kommunalinvestitionsbudgets nach Maßgabe des § 4 Absatz 1 für die jeweiligen Kreisfreien Städte und Landkreise einschließlich ihrer kreisangehörigen Gemeinden gebildet. Die Kommunalinvestitionsbudgets bilden jeweils die Obergrenze für die Summe der aus ihnen bewilligten Einzelzuweisungen.</w:t>
      </w:r>
    </w:p>
    <w:p>
      <w:r>
        <w:t xml:space="preserve">(4) Die Mittel nach Absatz 3 stehen in Höhe von jeweils einem Drittel zur Verfügung für Bewilligungen</w:t>
      </w:r>
    </w:p>
    <w:p>
      <w:r>
        <w:t xml:space="preserve">1. im Zeitraum bis 31. Dezember 2028,</w:t>
      </w:r>
    </w:p>
    <w:p>
      <w:r>
        <w:t xml:space="preserve">2. im Zeitraum vom 1. Januar 2029 bis 31. Dezember 2032 und</w:t>
      </w:r>
    </w:p>
    <w:p>
      <w:r>
        <w:t xml:space="preserve">3. im Zeitraum vom 1. Januar 2033 bis 31. Dezember 2036.</w:t>
      </w:r>
    </w:p>
    <w:p>
      <w:r>
        <w:t xml:space="preserve">In den Zeiträumen nach Satz 1 Nummer 1 und 2 nicht bewilligte Beträge stehen im Folgezeitraum für Bewilligungen im Rahmen des Absatzes 3 zur Verfügung.</w:t>
      </w:r>
    </w:p>
    <w:p>
      <w:r>
        <w:rPr>
          <w:color w:val="555555"/>
          <w:sz w:val="17"/>
        </w:rPr>
        <w:t xml:space="preserve">Zitiervorschlag: § 3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