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SN-21519 (Sachsen) — Außerkrafttreten</w:t>
      </w:r>
    </w:p>
    <w:p>
      <w:r>
        <w:rPr>
          <w:color w:val="555555"/>
          <w:sz w:val="18"/>
        </w:rPr>
        <w:t xml:space="preserve">Kommunalinvestitionskraftstärkungsverordnung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Ablauf des 31. Dezember 2050 außer Kraft.</w:t>
      </w:r>
    </w:p>
    <w:p>
      <w:r>
        <w:rPr>
          <w:color w:val="555555"/>
          <w:sz w:val="17"/>
        </w:rPr>
        <w:t xml:space="preserve">Zitiervorschlag: § 12 SN-21519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https://recht.nulegal.eu/gesetze/SN-21519/12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