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SN-21519 (Sachsen) — Rückforderungen</w:t>
      </w:r>
    </w:p>
    <w:p>
      <w:r>
        <w:rPr>
          <w:color w:val="555555"/>
          <w:sz w:val="18"/>
        </w:rPr>
        <w:t xml:space="preserve">Kommunalinvestitionskraftstärkungsverordnung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Bewilligungsbehörde hebt den Zuweisungsbescheid auf und fordert Zuweisungen von einer Gemeinde oder einem Landkreis zurück, soweit die Mittel nicht zweckentsprechend gemäß § 1 Absatz 1 bis 5 verwendet wurden oder wenn das Investitionsvorhaben nicht innerhalb des Förderzeitraums nach § 2 durchgeführt beziehungsweise abgerechnet wird.</w:t>
      </w:r>
    </w:p>
    <w:p>
      <w:r>
        <w:t xml:space="preserve">(2) Rückforderungen nach Absatz 1 sind bis zum 31. Dezember 2045 möglich, es sei denn, es werden nachträglich Informationen bekannt, die eine Rückforderung begründen.</w:t>
      </w:r>
    </w:p>
    <w:p>
      <w:r>
        <w:t xml:space="preserve">(3) Rückforderungsansprüche sind vom Zeitpunkt ihrer Entstehung an bis zur Rückzahlung zu verzinsen. Maßgeblich ist der Zinssatz, der sich nach § 8 Absatz 3 Satz 1 und 3 des Länder-und-Kommunalinfrastrukturfinanzierungsgesetzes ergibt. § 31 Absatz 5 des Sächsischen Finanzausgleichsgesetzes bleibt davon unberührt.</w:t>
      </w:r>
    </w:p>
    <w:p>
      <w:r>
        <w:t xml:space="preserve">(4) Für nach § 7 Absatz 3 Satz 1 zu erstattende Beträge gilt Absatz 3 entsprechend.</w:t>
      </w:r>
    </w:p>
    <w:p>
      <w:r>
        <w:rPr>
          <w:color w:val="555555"/>
          <w:sz w:val="17"/>
        </w:rPr>
        <w:t xml:space="preserve">Zitiervorschlag: § 11 SN-21519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https://recht.nulegal.eu/gesetze/SN-21519/11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