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SN-21513 (Sachsen) — Zuständigkeiten im Geschäftsbereich des Staatsministeriums für Wissenschaft, Kultur und Tourismus</w:t>
      </w:r>
    </w:p>
    <w:p>
      <w:r>
        <w:rPr>
          <w:color w:val="555555"/>
          <w:sz w:val="18"/>
        </w:rPr>
        <w:t xml:space="preserve">Sächsische Kulturgutschutz-Zuständigkeitsverordnung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gemäß § 6 Absatz 2 des Kulturgutschutzgesetzes vom 31. Juli 2016 (BGBl. I S. 1914), das zuletzt durch Artikel 1 des Gesetzes vom 17. Juli 2025 (BGBl. 2025 I Nr. 167) geändert worden ist, in der jeweils geltenden Fassung, wird bei Leih- oder Depositalverträgen des Staatsbetriebs Staatliche Kunstsammlungen Dresden auf diesen übertragen.</w:t>
      </w:r>
    </w:p>
    <w:p>
      <w:r>
        <w:rPr>
          <w:color w:val="555555"/>
          <w:sz w:val="17"/>
        </w:rPr>
        <w:t xml:space="preserve">Zitiervorschlag: § 1 SN-21513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