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SN-21469 (Sachsen) — Sonstige Bestimmungen</w:t>
      </w:r>
    </w:p>
    <w:p>
      <w:r>
        <w:rPr>
          <w:color w:val="555555"/>
          <w:sz w:val="18"/>
        </w:rPr>
        <w:t xml:space="preserve">Deutschlandticket-Finanzierungsverordnung 2026</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Empfänger stellen sicher, dass bei Weiterleitung der Ausgleichsleistungen an Verkehrsunternehmen nach § 4 Absatz 2 Satz 1 eine Überkompensation der aus der Einführung des Deutschlandtickets resultierenden wirtschaftlichen Nachteile ausgeschlossen ist. Soweit die beihilferechtliche Rechtfertigung aus der Verordnung (EG) Nr. 1370/2007 erfolgt, dürfen bei der Überkompensationsprüfung aus Gründen der Gleichbehandlung als Maßstab auch nur die Mindestanforderungen aus dem Anhang der Verordnung (EG) Nr. 1370/2007 zur Anwendung kommen. Der finanzielle Nettoeffekt berechnet sich aus der Summe der positiven oder negativen Auswirkungen der Erfüllung der gemeinwirtschaftlichen Verpflichtung des Verkehrsunternehmens zur Anerkennung und Anwendung des Deutschlandticket-Tarifs auf die Einnahmen des Verkehrsunternehmens sowie auf seine Kosten, soweit sie sich durch diese gemeinwirtschaftliche Verpflichtung verändern. Sonstige Kosten des Verkehrsunternehmens sind nicht Gegenstand dieser Überkompensationskontrolle.</w:t>
      </w:r>
    </w:p>
    <w:p>
      <w:r>
        <w:t xml:space="preserve">(2) Eine Doppelförderung ist ausgeschlossen. Die Empfänger sind darauf hinzuweisen, dass es sich bei den Angaben um subventionserhebliche Tatsachen im Sinne von § 264 des Strafgesetzbuches handelt und dass Subventionsbetrug nach dieser Vorschrift strafbar ist.</w:t>
      </w:r>
    </w:p>
    <w:p>
      <w:r>
        <w:t xml:space="preserve">(3) Die Empfänger sind verpflichtet,</w:t>
      </w:r>
    </w:p>
    <w:p>
      <w:r>
        <w:t xml:space="preserve">1. bis zum 31. März 2028 die tatsächlich entstandenen nicht gedeckten Ausgaben auf der Grundlage der in der Anlage genannten Berechnungsmethode nachzuweisen,</w:t>
      </w:r>
    </w:p>
    <w:p>
      <w:r>
        <w:t xml:space="preserve">2. dem Nachweis nach Nummer 1 Bestätigungen der Verbundorganisationen über die fiktive Aufteilung der Einnahmen nach Nummer 3 der Anlage beizufügen.</w:t>
      </w:r>
    </w:p>
    <w:p>
      <w:r>
        <w:t xml:space="preserve">(4) Die Empfänger stellen sicher, dass die erforderlichen Daten für das Monitoring und die Einnahmeaufteilung an die D-TIX GmbH &amp; Co KG gemeldet werden. Die Meldung der Deutschlandtickets an die Clearingstelle erfolgt bis zum 20. Kalendertag des Folgemonats. Die Meldung der Verkäufe aller übrigen Fahrausweise erfolgt bis zum 50. Tag nach Ende eines Monats.</w:t>
      </w:r>
    </w:p>
    <w:p>
      <w:r>
        <w:t xml:space="preserve">(5) Ausgleichsleistungen, die über den reinen Ausgleich der nicht gedeckten Ausgaben nach Maßgabe der Anlage hinausgehen, sind vom Empfänger zu erstatten. In der Regel sind die zurückgeforderten Beträge nicht zu verzinsen, wenn sie in der gesetzten Frist erstattet werden. Sollte sich herausstellen, dass der tatsächliche ausgleichsfähige Betrag den prognostizierten übersteigt, ist eine Anpassung der gewährten Ausgleichsleistung vorzunehmen.</w:t>
      </w:r>
    </w:p>
    <w:p>
      <w:r>
        <w:t xml:space="preserve">(6) Die nach dieser Verordnung gewährten Ausgleichsleistungen können ganz oder teilweise zurückgefordert werden, wenn die Empfänger die Auflagen nach den Absätzen 2 bis 4 nicht oder nicht innerhalb einer ihnen gesetzten Frist erfüllt haben.</w:t>
      </w:r>
    </w:p>
    <w:p>
      <w:r>
        <w:rPr>
          <w:color w:val="555555"/>
          <w:sz w:val="17"/>
        </w:rPr>
        <w:t xml:space="preserve">Zitiervorschlag: § 6 SN-21469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https://recht.nulegal.eu/gesetze/SN-21469/6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