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SN-21469 (Sachsen) — Empfänger der Ausgleichsleistungen</w:t>
      </w:r>
    </w:p>
    <w:p>
      <w:r>
        <w:rPr>
          <w:color w:val="555555"/>
          <w:sz w:val="18"/>
        </w:rPr>
        <w:t xml:space="preserve">Deutschlandticket-Finanzierungsverordnung 2026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Empfänger sind die Aufgabenträger und Zusammenschlüsse nach § 3 Absatz 1 und § 4 Absatz 1 des Gesetzes über den öffentlichen Personennahverkehr im Freistaat Sachsen .</w:t>
      </w:r>
    </w:p>
    <w:p>
      <w:r>
        <w:t xml:space="preserve">(2) Stellen die Zusammenschlüsse einen Sammelantrag für sich und die Aufgabenträger in ihrem Gebiet, sind Empfänger der Ausgleichsleistungen die Zusammenschlüsse.</w:t>
      </w:r>
    </w:p>
    <w:p>
      <w:r>
        <w:rPr>
          <w:color w:val="555555"/>
          <w:sz w:val="17"/>
        </w:rPr>
        <w:t xml:space="preserve">Zitiervorschlag: § 3 SN-21469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https://recht.nulegal.eu/gesetze/SN-21469/3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