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SN-21469 (Sachsen) — Zweck der Ausgleichsleistungen, Rechtsgrundlage</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Ausgleich nicht gedeckter Ausgaben der Aufgabenträger und Verkehrsunternehmen im öffentlichen Personennahverkehr einschließlich des Schienenpersonennahverkehrs im Zusammenhang mit der Einführung des Deutschlandtickets gewährt der Freistaat Sachsen nach Maßgabe dieser Verordnung Ausgleichsleistungen.</w:t>
      </w:r>
    </w:p>
    <w:p>
      <w:r>
        <w:t xml:space="preserve">(2) Es besteht kein Rechtsanspruch auf die Gewährung von Zahlungen nach dieser Verordnung. Das Landesamt für Straßenbau und Verkehr entscheidet aufgrund pflichtgemäßen Ermessens diskriminierungsfrei im Sinne des Artikels 5 Absatz 3 der Verordnung (EG) Nr. 1370/2007 im Rahmen der verfügbaren Haushaltsmittel.</w:t>
      </w:r>
    </w:p>
    <w:p>
      <w:r>
        <w:rPr>
          <w:color w:val="555555"/>
          <w:sz w:val="17"/>
        </w:rPr>
        <w:t xml:space="preserve">Zitiervorschlag: § 1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