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SN-21457 (Sachsen) — Anonymitätsprinzip in der schriftlichen Lehrgangsprüfung</w:t>
      </w:r>
    </w:p>
    <w:p>
      <w:r>
        <w:rPr>
          <w:color w:val="555555"/>
          <w:sz w:val="18"/>
        </w:rPr>
        <w:t xml:space="preserve">Sächsische Lebensmittelkontrolleursverordnung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Prüflinge erhalten von der Prüfungsbehörde mit der Zulassung eine Prüfungsnummer. Die Plätze im Prüfungsraum sind entsprechend zu nummerieren.</w:t>
      </w:r>
    </w:p>
    <w:p>
      <w:r>
        <w:t xml:space="preserve">(2) Die angefertigte Prüfungsarbeit darf, mit Ausnahme der Prüfungsnummer, keine Hinweise auf die Identität des Prüflings enthalten.</w:t>
      </w:r>
    </w:p>
    <w:p>
      <w:r>
        <w:t xml:space="preserve">(3) Die Anonymität der Prüflinge ist erst nach der endgültigen Bewertung der schriftlichen Prüfungsarbeit aufzuheben.</w:t>
      </w:r>
    </w:p>
    <w:p>
      <w:r>
        <w:rPr>
          <w:color w:val="555555"/>
          <w:sz w:val="17"/>
        </w:rPr>
        <w:t xml:space="preserve">Zitiervorschlag: § 22 SN-21457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https://recht.nulegal.eu/gesetze/SN-21457/22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