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SN-21457 (Sachsen) — Gegenstand und Gliederung der Lehrgangsprüfung</w:t>
      </w:r>
    </w:p>
    <w:p>
      <w:r>
        <w:rPr>
          <w:color w:val="555555"/>
          <w:sz w:val="18"/>
        </w:rPr>
        <w:t xml:space="preserve">Sächsische Lebensmittelkontrolleursverordnung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Lehrgang endet mit einer nicht öffentlichen Lehrgangsprüfung. Sie gliedert sich in einen schriftlichen, einen praktischen und einen mündlichen Teil. Die Nichtöffentlichkeit nach Satz 1 gilt nicht für Personen, die im Rahmen der praktischen Lehrgangsprüfung als Personal oder Kundschaft des kontrollierten Betriebs anwesend sind.</w:t>
      </w:r>
    </w:p>
    <w:p>
      <w:r>
        <w:t xml:space="preserve">(2) Die Lehrgangsprüfung erstreckt sich auf die nach § 1 Absatz 1 und § 3 Absatz 2 der Lebensmittelkontrolleur-Verordnung im Rahmen des Lehrgangs vermittelten Fertigkeiten, Kenntnisse und Fähigkeiten.</w:t>
      </w:r>
    </w:p>
    <w:p>
      <w:r>
        <w:rPr>
          <w:color w:val="555555"/>
          <w:sz w:val="17"/>
        </w:rPr>
        <w:t xml:space="preserve">Zitiervorschlag: § 19 SN-21457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https://recht.nulegal.eu/gesetze/SN-21457/19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