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SN-21431 (Sachsen)</w:t>
      </w:r>
    </w:p>
    <w:p>
      <w:r>
        <w:rPr>
          <w:color w:val="555555"/>
          <w:sz w:val="18"/>
        </w:rPr>
        <w:t xml:space="preserve">Verordnung des Sächsischen Staatsministeriums für Soziales, Gesundheit und Gesellschaftlichen Zusammenhalt zur Außerkraftsetzung der Barrierefreiheitsstärkungs-Zuständigkeitsverordnung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Staatsministerium für Soziales, Gesundheit und Gesellschaftlichen Zusammenhalt verordnet aufgrund</w:t>
      </w:r>
    </w:p>
    <w:p>
      <w:r>
        <w:t xml:space="preserve">– des § 16 Absatz 1 Satz 2 Nummer 2 des Sächsischen Verwaltungsorganisationsgesetzes vom 25. November 2003 (SächsGVBl. S. 899), das zuletzt durch Artikel 9 des Gesetzes vom 27. Juni 2025 (SächsGVBl. S. 285) geändert worden ist, und</w:t>
      </w:r>
    </w:p>
    <w:p>
      <w:r>
        <w:t xml:space="preserve">– des § 36 Absatz 2 Satz 1 des Gesetzes über Ordnungswidrigkeiten in der Fassung der Bekanntmachung vom 19. Februar 1987 (BGBl. I S. 602), das zuletzt durch Artikel 4 des Gesetzes vom 17. Juli 2025 (BGBl. 2025 I Nr. 163) geändert worden ist, sowie</w:t>
      </w:r>
    </w:p>
    <w:p>
      <w:r>
        <w:t xml:space="preserve">– des § 16 Nummer 1 der Ordnungswidrigkeiten-Zuständigkeitsverordnung vom 16. Juni 2014 (SächsGVBl. S. 342), die zuletzt durch die Verordnung vom 22. Oktober 2024 (SächsGVBl. S. 907) geändert worden ist:</w:t>
      </w:r>
    </w:p>
    <w:p>
      <w:r>
        <w:rPr>
          <w:color w:val="555555"/>
          <w:sz w:val="17"/>
        </w:rPr>
        <w:t xml:space="preserve">Zitiervorschlag: Eingangsformel SN-21431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https://recht.nulegal.eu/gesetze/SN-21431/eingangsformel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