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SN-21431 (Sachsen) — Außerkrafttreten</w:t>
      </w:r>
    </w:p>
    <w:p>
      <w:r>
        <w:rPr>
          <w:color w:val="555555"/>
          <w:sz w:val="18"/>
        </w:rPr>
        <w:t xml:space="preserve">Verordnung des Sächsischen Staatsministeriums für Soziales, Gesundheit und Gesellschaftlichen Zusammenhalt zur Außerkraftsetzung der Barrierefreiheitsstärkungs-Zuständigkeitsverordnung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Barrierefreiheitsstärkungs-Zuständigkeitsverordnung vom 12. Dezember 2024 (SächsGVBl. 2025 S. 5) tritt mit Ablauf des 31. Dezember 2025 außer Kraft.</w:t>
      </w:r>
    </w:p>
    <w:p>
      <w:r>
        <w:rPr>
          <w:color w:val="555555"/>
          <w:sz w:val="17"/>
        </w:rPr>
        <w:t xml:space="preserve">Zitiervorschlag: Artikel 1 SN-21431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