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SN-21430 (Sachsen) — Zweite Einkommensgrenze</w:t>
      </w:r>
    </w:p>
    <w:p>
      <w:r>
        <w:rPr>
          <w:color w:val="555555"/>
          <w:sz w:val="18"/>
        </w:rPr>
        <w:t xml:space="preserve">Sächsische Einkommensgrenzen-Verordnung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für die soziale Wohnraumförderung maßgebliche zweite Einkommensgrenze beträgt abweichend von § 9 Absatz 2 Satz 1 des Wohnraumförderungsgesetzes für einen Ein-Personen-Haushalt 23 640 Euro, für einen Zwei-Personen-Haushalt 35 460 Euro, zuzüglich für jede weitere zum Haushalt rechnende Person 8 077 Euro.</w:t>
      </w:r>
    </w:p>
    <w:p>
      <w:r>
        <w:t xml:space="preserve">(2) Die Einkommensgrenze nach Absatz 1 erhöht sich abweichend von § 9 Absatz 2 Satz 2 des Wohnraumförderungsgesetzes für jedes zum Haushalt rechnende Kind im Sinne von § 32 Absatz 1 bis 5 des Einkommensteuergesetzes um weitere 985 Euro.</w:t>
      </w:r>
    </w:p>
    <w:p>
      <w:r>
        <w:rPr>
          <w:color w:val="555555"/>
          <w:sz w:val="17"/>
        </w:rPr>
        <w:t xml:space="preserve">Zitiervorschlag: § 2 SN-21430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https://recht.nulegal.eu/gesetze/SN-21430/2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