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SN-21418 (Sachsen) — Ärztliche Untersuchungen</w:t>
      </w:r>
    </w:p>
    <w:p>
      <w:r>
        <w:rPr>
          <w:color w:val="555555"/>
          <w:sz w:val="18"/>
        </w:rPr>
        <w:t xml:space="preserve">Sächsische Jugendarbeitsschutzverordnung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Eine Person unter 18 Jahren darf als Beamtin oder Beamter nur eingestellt werden, wenn sie vor der Einstellung entsprechend § 32 Absatz 1 Nummer 1 des Jugendarbeitsschutzgesetzes ärztlich untersucht worden ist (Erstuntersuchung).</w:t>
      </w:r>
    </w:p>
    <w:p>
      <w:r>
        <w:t xml:space="preserve">(2) Frühestens neun Monate und spätestens ein Jahr nach der Einstellung ist die jugendliche Beamtin oder der jugendliche Beamte erneut ärztlich zu untersuchen. Die §§ 34 und 35 Absatz 1 des Jugendarbeitsschutzgesetzes gelten entsprechend.</w:t>
      </w:r>
    </w:p>
    <w:p>
      <w:r>
        <w:t xml:space="preserve">(3) Für die Durchführung der ärztlichen Untersuchungen nach den Absätzen 1 und 2 sind die Ärztinnen und Ärzte gemäß § 4 Absatz 4 des Sächsischen Beamtengesetzes zuständig. Für erforderliche Ergänzungsuntersuchungen gilt § 38 des Jugendarbeitsschutzgesetzes entsprechend. Die jugendliche Beamtin oder der jugendliche Beamte ist für die Untersuchungen vom Dienst freizustellen.</w:t>
      </w:r>
    </w:p>
    <w:p>
      <w:r>
        <w:t xml:space="preserve">(4) Aufgrund der ärztlichen Untersuchungen ist insbesondere zu beurteilen, ob die für die Laufbahn erforderliche gesundheitliche Eignung vorliegt. Inhalt und Durchführung der ärztlichen Untersuchungen nach den Absätzen 1 und 2 bestimmen sich entsprechend § 37 Absatz 1 und 2 des Jugendarbeitsschutzgesetzes . Die Ärztin oder der Arzt hat das Ergebnis der Untersuchungen in einem ärztlichen Zeugnis in Textform festzuhalten.</w:t>
      </w:r>
    </w:p>
    <w:p>
      <w:r>
        <w:t xml:space="preserve">(5) Das Ergebnis der ärztlichen Untersuchung ist der Ernennungsbehörde, der jugendlichen Beamtin oder dem jugendlichen Beamten und den Personensorgeberechtigten in Textform mitzuteilen. Die Mitteilung soll insbesondere Aussagen darüber enthalten,</w:t>
      </w:r>
    </w:p>
    <w:p>
      <w:r>
        <w:t xml:space="preserve">1. ob die für die Laufbahn erforderliche gesundheitliche Eignung vorliegt;</w:t>
      </w:r>
    </w:p>
    <w:p>
      <w:r>
        <w:t xml:space="preserve">2. welche Dienstgeschäfte die Gesundheit oder Entwicklung der betroffenen Person gefährden könnten;</w:t>
      </w:r>
    </w:p>
    <w:p>
      <w:r>
        <w:t xml:space="preserve">3. ob die Anordnung einer außerordentlichen Nachuntersuchung erforderlich ist.</w:t>
      </w:r>
    </w:p>
    <w:p>
      <w:r>
        <w:t xml:space="preserve">Der jugendlichen Beamtin oder dem jugendlichen Beamten sowie den Personensorgeberechtigten sind außerdem die besonderen der Gesundheit dienenden Maßnahmen mitzuteilen.</w:t>
      </w:r>
    </w:p>
    <w:p>
      <w:r>
        <w:t xml:space="preserve">(6) Die Ernennungsbehörde prüft aufgrund des ärztlichen Zeugnisses über</w:t>
      </w:r>
    </w:p>
    <w:p>
      <w:r>
        <w:t xml:space="preserve">1. die Erstuntersuchung, ob die jugendliche Bewerberin oder der jugendliche Bewerber die für die Begründung des Beamtenverhältnisses erforderliche gesundheitliche Eignung für die angestrebte Laufbahn besitzt;</w:t>
      </w:r>
    </w:p>
    <w:p>
      <w:r>
        <w:t xml:space="preserve">2. die Nachuntersuchungen der jugendlichen Beamtin oder des jugendlichen Beamten, ob die Voraussetzungen für die Ausübung der Dienstgeschäfte gegeben sind.</w:t>
      </w:r>
    </w:p>
    <w:p>
      <w:r>
        <w:rPr>
          <w:color w:val="555555"/>
          <w:sz w:val="17"/>
        </w:rPr>
        <w:t xml:space="preserve">Zitiervorschlag: § 5 SN-21418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https://recht.nulegal.eu/gesetze/SN-21418/5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