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SN-21331 (Sachsen)</w:t>
      </w:r>
    </w:p>
    <w:p>
      <w:r>
        <w:rPr>
          <w:color w:val="555555"/>
          <w:sz w:val="18"/>
        </w:rPr>
        <w:t xml:space="preserve">Verordnung des Sächsischen Staatsministeriums für Kultus zur Umsetzung der Neuregelungen in der Kindertagesbetreuung durch das Haushaltsbegleitgesetz 2025/2026</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Kultus verordnet aufgrund</w:t>
      </w:r>
    </w:p>
    <w:p>
      <w:r>
        <w:t xml:space="preserve">– des § 2 Absatz 3 Satz 5 und 6, des § 19 Satz 6 sowie des § 21 Absatz 5 des Gesetzes über Kindertagesbetreuung in der Fassung der Bekanntmachung vom 15. Mai 2009 (SächsGVBl. S. 225), das zuletzt durch Artikel 13 des Gesetzes vom 27. Juni 2025 (SächsGVBl. S. 285) geändert worden ist,</w:t>
      </w:r>
    </w:p>
    <w:p>
      <w:r>
        <w:t xml:space="preserve">– des § 18 Absatz 4 Satz 2 des Gesetzes über Kindertagesbetreuung im Einvernehmen mit dem Staatsministerium des Innern und dem Staatsministerium der Finanzen,</w:t>
      </w:r>
    </w:p>
    <w:p>
      <w:r>
        <w:t xml:space="preserve">– des § 13 Absatz 4 Satz 2 und des § 16 Absatz 2 des Sächsischen Schulgesetzes in der Fassung der Bekanntmachung vom 27. September 2018 (SächsGVBl. S. 648), das zuletzt durch Artikel 2 des Gesetzes vom 17. Juli 2024 (SächsGVBl. S. 662) geändert worden ist:</w:t>
      </w:r>
    </w:p>
    <w:p>
      <w:r>
        <w:rPr>
          <w:color w:val="555555"/>
          <w:sz w:val="17"/>
        </w:rPr>
        <w:t xml:space="preserve">Zitiervorschlag: Eingangsformel SN-21331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https://recht.nulegal.eu/gesetze/SN-21331/eingangsformel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