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SN-21295 (Sachsen) — Teilflächen 1 (grün) für Maßnahmen zur Unterbrechung des Wirkungspfades Boden – Mensch</w:t>
      </w:r>
    </w:p>
    <w:p>
      <w:r>
        <w:rPr>
          <w:color w:val="555555"/>
          <w:sz w:val="18"/>
        </w:rPr>
        <w:t xml:space="preserve">Verordnung der Landesdirektion Sachsen zur Festlegung des Bodenplanungsgebietes Raum Annaberg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Zur Unterbrechung des Wirkungspfads Boden – Mensch in den Teilflächen 1 (grün) sind für die Nutzungsarten Kinderspielflächen, Wohngebiete und Park- und Freizeitanlagen keine Maßnahmen erforderlich.</w:t>
      </w:r>
    </w:p>
    <w:p>
      <w:r>
        <w:rPr>
          <w:color w:val="555555"/>
          <w:sz w:val="17"/>
        </w:rPr>
        <w:t xml:space="preserve">Zitiervorschlag: § 9 SN-21295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https://recht.nulegal.eu/gesetze/SN-21295/9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