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SN-21295 (Sachsen) — Teilflächen 4 (rot) für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bereits erfolgt, sind zur Unterbrechung des Wirkungspfads Boden – Mensch in den Teilflächen 4 (rot) vom Grundstückseigentümer oder -nutzer Maßnahmen wie Bodenversiegelung, Bodenauftrag oder Bodenaustausch vorzunehmen. Bei künftig geplanten Nutzungen trifft diese Pflicht den Vorhabenträger.</w:t>
      </w:r>
    </w:p>
    <w:p>
      <w:r>
        <w:t xml:space="preserve">(2) Das Erfordernis zur Durchführung von Maßnahmen kann nur durch eine standortbezogene Detailuntersuchung nach § 9 Absatz 2 des Bundes-Bodenschutzgesetzes ausgeräumt werden.</w:t>
      </w:r>
    </w:p>
    <w:p>
      <w:r>
        <w:rPr>
          <w:color w:val="555555"/>
          <w:sz w:val="17"/>
        </w:rPr>
        <w:t xml:space="preserve">Zitiervorschlag: § 6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