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SN-21295 (Sachsen) — Inkrafttreten</w:t>
      </w:r>
    </w:p>
    <w:p>
      <w:r>
        <w:rPr>
          <w:color w:val="555555"/>
          <w:sz w:val="18"/>
        </w:rPr>
        <w:t xml:space="preserve">Verordnung der Landesdirektion Sachsen zur Festlegung des Bodenplanungsgebietes Raum Annaberg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Verordnung tritt am Tag nach der Verkündung in Kraft.</w:t>
      </w:r>
    </w:p>
    <w:p>
      <w:r>
        <w:t xml:space="preserve">Chemnitz, den 1. Juni 2025</w:t>
      </w:r>
    </w:p>
    <w:p>
      <w:r>
        <w:t xml:space="preserve">Landesdirektion Sachsen</w:t>
      </w:r>
    </w:p>
    <w:p>
      <w:r>
        <w:t xml:space="preserve">Béla Bélafi</w:t>
      </w:r>
    </w:p>
    <w:p>
      <w:r>
        <w:t xml:space="preserve">Präsident</w:t>
      </w:r>
    </w:p>
    <w:p>
      <w:r>
        <w:rPr>
          <w:color w:val="555555"/>
          <w:sz w:val="17"/>
        </w:rPr>
        <w:t xml:space="preserve">Zitiervorschlag: § 17 SN-21295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https://recht.nulegal.eu/gesetze/SN-21295/17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