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SN-21295 (Sachsen) — Gliederung in Teilflächen für die Verlagerung von Bodenmaterial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Bodenplanungsgebiet gliedert sich in Teilflächen mit festgelegten Verteilungskennwerten für die relevanten Schadstoffe der Leitparameter Arsen, Blei und Cadmium. Auf Anlage 2, Tabelle 2, wird verwiesen.</w:t>
      </w:r>
    </w:p>
    <w:p>
      <w:r>
        <w:t xml:space="preserve">(2) In Teilfläche 1 (grün) sind leicht erhöhte, in Teilfläche 2 (gelb) sind erhöhte, in Teilfläche 3 (ocker) sind hohe und in Teilfläche 4 (rot) sind sehr hohe Gehalte anzutreffen.</w:t>
      </w:r>
    </w:p>
    <w:p>
      <w:r>
        <w:t xml:space="preserve">(3) Die Teilflächen sind in den Karten des Kartenwerkes 9.1 bis 9.6 für Oberboden und 10.1 bis 10.6 für Unterboden dargestellt.</w:t>
      </w:r>
    </w:p>
    <w:p>
      <w:r>
        <w:rPr>
          <w:color w:val="555555"/>
          <w:sz w:val="17"/>
        </w:rPr>
        <w:t xml:space="preserve">Zitiervorschlag: § 13 SN-21295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https://recht.nulegal.eu/gesetze/SN-21295/13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