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12 SN-21295 (Sachsen) — Maßnahmen zur Unterbrechung des Wirkungspfades Boden – Pflanze – Mensch in privaten Nutzgärten</w:t>
      </w:r>
    </w:p>
    <w:p>
      <w:r>
        <w:rPr>
          <w:color w:val="555555"/>
          <w:sz w:val="18"/>
        </w:rPr>
        <w:t xml:space="preserve">Verordnung der Landesdirektion Sachsen zur Festlegung des Bodenplanungsgebietes Raum Annaberg</w:t>
      </w:r>
    </w:p>
    <w:p>
      <w:r>
        <w:rPr>
          <w:color w:val="555555"/>
          <w:sz w:val="18"/>
        </w:rPr>
        <w:t xml:space="preserve">Landesrecht Sachsen</w:t>
      </w:r>
    </w:p>
    <w:p>
      <w:r>
        <w:rPr>
          <w:color w:val="555555"/>
          <w:sz w:val="18"/>
        </w:rPr>
        <w:t xml:space="preserve">Stand: 26.08.2026 (konsolidierte Textfassung, kein amtliches Inkrafttretensdatum)</w:t>
      </w:r>
    </w:p>
    <w:p>
      <w:r>
        <w:t xml:space="preserve">Der Grundstückseigentümer oder Nutzer hat sicherzustellen, dass durch den Schadstoffübergang vom Boden in die Nutzpflanze keine Gefährdungen oder erheblichen Nachteile für den Einzelnen oder die Allgemeinheit entstehen.</w:t>
      </w:r>
    </w:p>
    <w:p>
      <w:r>
        <w:t xml:space="preserve">Auf die Anbauempfehlungen für Obst- und Gemüseanbau in „Hinweise und Empfehlungen zum Umgang mit arsen- und schwermetallbelasteten landwirtschaftlich und gärtnerisch genutzten Böden, Staatliche Betriebsgesellschaft für Umwelt und Landwirtschaft, Nossen, auf dem jeweils aktuellem Stand“ wird verwiesen.</w:t>
      </w:r>
    </w:p>
    <w:p>
      <w:r>
        <w:rPr>
          <w:color w:val="555555"/>
          <w:sz w:val="17"/>
        </w:rPr>
        <w:t xml:space="preserve">Zitiervorschlag: § 12 SN-21295 (Sachsen)</w:t>
      </w:r>
    </w:p>
    <w:p>
      <w:r>
        <w:rPr>
          <w:color w:val="555555"/>
          <w:sz w:val="17"/>
        </w:rPr>
        <w:t xml:space="preserve">Quelle: revosax, abgerufen 26.08.2026</w:t>
      </w:r>
    </w:p>
    <w:p>
      <w:r>
        <w:rPr>
          <w:color w:val="555555"/>
          <w:sz w:val="17"/>
        </w:rPr>
        <w:t xml:space="preserve">Nicht-amtliche Lesefassung — verbindlich ist das Sächsische Gesetz- und Verordnungsblatt (Sächsische Staatskanzlei: https://www.sk.sachsen.de)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https://recht.nulegal.eu/gesetze/SN-21295/12</w:t>
      </w:r>
    </w:p>
    <w:p>
      <w:r>
        <w:rPr>
          <w:color w:val="767676"/>
          <w:sz w:val="15"/>
        </w:rPr>
        <w:t xml:space="preserve">nu:legal · recht.nulegal.eu · Nicht-amtliche Lesefassung. Amtliche Fassung: sk.sachsen.de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