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SN-21241 (Sachsen) — Inkrafttreten, Außerkrafttreten</w:t>
      </w:r>
    </w:p>
    <w:p>
      <w:r>
        <w:rPr>
          <w:color w:val="555555"/>
          <w:sz w:val="18"/>
        </w:rPr>
        <w:t xml:space="preserve">Verordnung des Sächsischen Staatsministeriums des Innern zur Neufassung der Sächsischen Heilfürsorgeverordnung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ihrer Verkündung in Kraft. Gleichzeitig tritt die Sächsische Heilfürsorgeverordnung vom 20. Februar 2014 (SächsGVBl. S. 86) außer Kraft.</w:t>
      </w:r>
    </w:p>
    <w:p>
      <w:r>
        <w:t xml:space="preserve">Dresden, den 16. Juni 2025</w:t>
      </w:r>
    </w:p>
    <w:p>
      <w:r>
        <w:t xml:space="preserve">Der Staatsminister des Innern</w:t>
      </w:r>
    </w:p>
    <w:p>
      <w:r>
        <w:t xml:space="preserve">Armin Schuste</w:t>
      </w:r>
    </w:p>
    <w:p>
      <w:r>
        <w:rPr>
          <w:color w:val="555555"/>
          <w:sz w:val="17"/>
        </w:rPr>
        <w:t xml:space="preserve">Zitiervorschlag: Artikel 3 SN-21241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https://recht.nulegal.eu/gesetze/SN-21241/3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