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Präambel SN-21239 (Sachsen)</w:t>
      </w:r>
    </w:p>
    <w:p>
      <w:r>
        <w:rPr>
          <w:color w:val="555555"/>
          <w:sz w:val="18"/>
        </w:rPr>
        <w:t xml:space="preserve">NOOTS-Staatsvertrag</w:t>
      </w:r>
    </w:p>
    <w:p>
      <w:r>
        <w:rPr>
          <w:color w:val="555555"/>
          <w:sz w:val="18"/>
        </w:rPr>
        <w:t xml:space="preserve">Landesrecht Sachsen</w:t>
      </w:r>
    </w:p>
    <w:p>
      <w:r>
        <w:rPr>
          <w:color w:val="555555"/>
          <w:sz w:val="18"/>
        </w:rPr>
        <w:t xml:space="preserve">Stand: 26.08.2026 (konsolidierte Textfassung, kein amtliches Inkrafttretensdatum)</w:t>
      </w:r>
    </w:p>
    <w:p>
      <w:r>
        <w:t xml:space="preserve">Das Land Baden-Württemberg,</w:t>
      </w:r>
    </w:p>
    <w:p>
      <w:r>
        <w:t xml:space="preserve">der Freistaat Bayern,</w:t>
      </w:r>
    </w:p>
    <w:p>
      <w:r>
        <w:t xml:space="preserve">das Land Berlin,</w:t>
      </w:r>
    </w:p>
    <w:p>
      <w:r>
        <w:t xml:space="preserve">das Land Brandenburg,</w:t>
      </w:r>
    </w:p>
    <w:p>
      <w:r>
        <w:t xml:space="preserve">die Freie Hansestadt Bremen,</w:t>
      </w:r>
    </w:p>
    <w:p>
      <w:r>
        <w:t xml:space="preserve">die Freie und Hansestadt Hamburg,</w:t>
      </w:r>
    </w:p>
    <w:p>
      <w:r>
        <w:t xml:space="preserve">das Land Hessen,</w:t>
      </w:r>
    </w:p>
    <w:p>
      <w:r>
        <w:t xml:space="preserve">das Land Mecklenburg-Vorpommern,</w:t>
      </w:r>
    </w:p>
    <w:p>
      <w:r>
        <w:t xml:space="preserve">das Land Niedersachsen,</w:t>
      </w:r>
    </w:p>
    <w:p>
      <w:r>
        <w:t xml:space="preserve">das Land Nordrhein-Westfalen,</w:t>
      </w:r>
    </w:p>
    <w:p>
      <w:r>
        <w:t xml:space="preserve">das Land Rheinland-Pfalz,</w:t>
      </w:r>
    </w:p>
    <w:p>
      <w:r>
        <w:t xml:space="preserve">das Saarland,</w:t>
      </w:r>
    </w:p>
    <w:p>
      <w:r>
        <w:t xml:space="preserve">der Freistaat Sachsen,</w:t>
      </w:r>
    </w:p>
    <w:p>
      <w:r>
        <w:t xml:space="preserve">das Land Sachsen-Anhalt,</w:t>
      </w:r>
    </w:p>
    <w:p>
      <w:r>
        <w:t xml:space="preserve">das Land Schleswig-Holstein und</w:t>
      </w:r>
    </w:p>
    <w:p>
      <w:r>
        <w:t xml:space="preserve">der Freistaat Thüringen</w:t>
      </w:r>
    </w:p>
    <w:p>
      <w:r>
        <w:t xml:space="preserve">sowie die</w:t>
      </w:r>
    </w:p>
    <w:p>
      <w:r>
        <w:t xml:space="preserve">Bundesrepublik Deutschland (im Weiteren „der Bund“ genannt)</w:t>
      </w:r>
    </w:p>
    <w:p>
      <w:r>
        <w:t xml:space="preserve">(im Folgenden „Vertragsparteien“)</w:t>
      </w:r>
    </w:p>
    <w:p>
      <w:r>
        <w:t xml:space="preserve">haben das Ziel, ein gemeinsames flächendeckendes informationstechnisches System zu etablieren, das perspektivisch den gesamten Datenaustausch zwischen allen öffentlichen Stellen automatisiert, reibungslos, schnell und damit auch kostengünstig und bürokratiearm ermöglicht.</w:t>
      </w:r>
    </w:p>
    <w:p>
      <w:r>
        <w:t xml:space="preserve">Nachweise und Daten, die der öffentlichen Verwaltung bereits vorliegen, sollen im Interesse der Bürgerinnen und Bürger sowie der Unternehmen nicht erneut erhoben, sondern direkt automatisiert abgerufen, übermittelt und nutzbar gemacht werden (Once-Only-Prinzip).</w:t>
      </w:r>
    </w:p>
    <w:p>
      <w:r>
        <w:t xml:space="preserve">Davon profitieren auch die Verwaltungen des Bundes einschließlich der bundesunmittelbaren Körperschaften, Anstalten und Stiftungen des öffentlichen Rechts sowie der Länder einschließlich der Gemeinden, Gemeindeverbände und der sonstigen der Aufsicht der Länder unterstehenden juristischen Personen des öffentlichen Rechts. Diese Vereinbarung umfasst juristische Personen des öffentlichen Rechts, soweit die Vertragsparteien die Fach- und/oder die Rechtsaufsicht haben.</w:t>
      </w:r>
    </w:p>
    <w:p>
      <w:r>
        <w:t xml:space="preserve">Zunächst soll das Once-Only-Prinzip für Verwaltungsleistungen nach dem Onlinezugangsgesetz umgesetzt werden. Die weitere Nutzung des Systems wird durch den IT-Planungsrat nach Maßgabe dieses Vertrags gesteuert.</w:t>
      </w:r>
    </w:p>
    <w:p>
      <w:r>
        <w:t xml:space="preserve">Die Vertragsparteien treffen daher auf der Grundlage des Artikels 91c des Grundgesetzes</w:t>
      </w:r>
    </w:p>
    <w:p>
      <w:r>
        <w:t xml:space="preserve">– zur Errichtung, Betrieb und Weiterentwicklung eines gemeinsamen informationstechnischen Systems zum automatisierten Nachweisabruf gemäß Artikel 91c Absatz 1 des Grundgesetzes sowie</w:t>
      </w:r>
    </w:p>
    <w:p>
      <w:r>
        <w:t xml:space="preserve">– zum Verfahren nach Artikel 91c Absatz 2 des Grundgesetzes zur Festlegung von IT-Standards und IT-Sicherheitsanforderungen, soweit es vom Regelungsgegenstand dieses Staatsvertrags erfasst ist,</w:t>
      </w:r>
    </w:p>
    <w:p>
      <w:r>
        <w:t xml:space="preserve">folgende Vereinbarung:</w:t>
      </w:r>
    </w:p>
    <w:p>
      <w:r>
        <w:rPr>
          <w:color w:val="555555"/>
          <w:sz w:val="17"/>
        </w:rPr>
        <w:t xml:space="preserve">Zitiervorschlag: Präambel SN-21239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https://recht.nulegal.eu/gesetze/SN-21239/praeambel</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Präambel SN-21239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