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SN-21239 (Sachsen) — Anschluss an das EU-OOTS</w:t>
      </w:r>
    </w:p>
    <w:p>
      <w:r>
        <w:rPr>
          <w:color w:val="555555"/>
          <w:sz w:val="18"/>
        </w:rPr>
        <w:t xml:space="preserve">NOOTS-Staatsvertrag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NOOTS stellt einen Anschluss an das technische System nach Artikel 14 der Verordnung (EU) 2018/1724 des Europäischen Parlaments und des Rates vom 2. Oktober 2018 über die Einrichtung eines einheitlichen digitalen Zugangstors zu Informationen, Verfahren, Hilfs- und Problemlösungsdiensten und zur Änderung der Verordnung (EU) Nr. 1024/2012 (Single Digital Gateway-Verordnung) (ABl. L 295 vom 21.11.2018, S. 1) her. Die Verpflichtung zum Anschluss an dieses EU-OOTS ergibt sich aus der Verordnung (EU) 2018/1724.</w:t>
      </w:r>
    </w:p>
    <w:p>
      <w:r>
        <w:rPr>
          <w:color w:val="555555"/>
          <w:sz w:val="17"/>
        </w:rPr>
        <w:t xml:space="preserve">Zitiervorschlag: § 6 SN-21239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https://recht.nulegal.eu/gesetze/SN-21239/6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