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SN-21239 (Sachsen) — Betriebsverantwortliche Stelle</w:t>
      </w:r>
    </w:p>
    <w:p>
      <w:r>
        <w:rPr>
          <w:color w:val="555555"/>
          <w:sz w:val="18"/>
        </w:rPr>
        <w:t xml:space="preserve">NOOTS-Staatsvertrag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operative Umsetzung der Errichtung, des Betriebs und der Weiterentwicklung des NOOTS erfolgt durch das Bundesverwaltungsamt als betriebsverantwortliche Stelle.</w:t>
      </w:r>
    </w:p>
    <w:p>
      <w:r>
        <w:t xml:space="preserve">(2) Die betriebsverantwortliche Stelle legt der Steuerungsgruppe NOOTS über die Gesamtleitung Vorschläge für die Anschlussbedingungen an das NOOTS vor.</w:t>
      </w:r>
    </w:p>
    <w:p>
      <w:r>
        <w:t xml:space="preserve">(3) Die betriebsverantwortliche Stelle berichtet der Gesamtleitung regelmäßig über den aktuellen Status des NOOTS.</w:t>
      </w:r>
    </w:p>
    <w:p>
      <w:r>
        <w:rPr>
          <w:color w:val="555555"/>
          <w:sz w:val="17"/>
        </w:rPr>
        <w:t xml:space="preserve">Zitiervorschlag: § 4 SN-21239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https://recht.nulegal.eu/gesetze/SN-21239/4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