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SN-21239 (Sachsen) — Governance</w:t>
      </w:r>
    </w:p>
    <w:p>
      <w:r>
        <w:rPr>
          <w:color w:val="555555"/>
          <w:sz w:val="18"/>
        </w:rPr>
        <w:t xml:space="preserve">NOOTS-Staatsvertrag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grundsätzlichen Entscheidungen über den Betrieb und die Weiterentwicklung des NOOTS werden nach Maßgabe des IT-Staatsvertrags in der jeweils geltenden Fassung sowie der Geschäftsordnung des IT-Planungsrats in der jeweils geltenden Fassung durch den IT-Planungsrat getroffen.</w:t>
      </w:r>
    </w:p>
    <w:p>
      <w:r>
        <w:t xml:space="preserve">(2) Zu den grundsätzlichen Entscheidungen gehören insbesondere:</w:t>
      </w:r>
    </w:p>
    <w:p>
      <w:r>
        <w:t xml:space="preserve">a) Finanz- und Budgetplanung,</w:t>
      </w:r>
    </w:p>
    <w:p>
      <w:r>
        <w:t xml:space="preserve">b) strategische Weiterentwicklung des NOOTS,</w:t>
      </w:r>
    </w:p>
    <w:p>
      <w:r>
        <w:t xml:space="preserve">c) Bekanntgabe, dass die technischen Voraussetzungen für den Betrieb des NOOTS vorliegen,</w:t>
      </w:r>
    </w:p>
    <w:p>
      <w:r>
        <w:t xml:space="preserve">d) Festlegung der Anschlussbedingungen an das NOOTS und</w:t>
      </w:r>
    </w:p>
    <w:p>
      <w:r>
        <w:t xml:space="preserve">e) Festlegung der Reihenfolge der Anschluss- und Nutzungsverpflichtung gemäß § 9.</w:t>
      </w:r>
    </w:p>
    <w:p>
      <w:r>
        <w:t xml:space="preserve">(3) Der IT-Planungsrat beteiligt die jeweilige Fachministerkonferenz nach Maßgabe des IT-Staatsvertrags in der jeweils geltenden Fassung.</w:t>
      </w:r>
    </w:p>
    <w:p>
      <w:r>
        <w:t xml:space="preserve">(4) Der IT-Planungsrat richtet nach Maßgabe der Geschäftsordnung des IT-Planungsrats in der jeweils geltenden Fassung eine Steuerungsgruppe NOOTS ein, der je ein Vertreter des Bundes sowie von sechs Ländern angehören.</w:t>
      </w:r>
    </w:p>
    <w:p>
      <w:r>
        <w:t xml:space="preserve">(5) Die Steuerungsgruppe NOOTS trifft insbesondere folgende Entscheidungen:</w:t>
      </w:r>
    </w:p>
    <w:p>
      <w:r>
        <w:t xml:space="preserve">a) Entscheidungen innerhalb des Finanzbudgets,</w:t>
      </w:r>
    </w:p>
    <w:p>
      <w:r>
        <w:t xml:space="preserve">b) Empfehlungen für die Anschlussbedingungen an das NOOTS und</w:t>
      </w:r>
    </w:p>
    <w:p>
      <w:r>
        <w:t xml:space="preserve">c) Festlegungen zum Betrieb und der Weiterentwicklung der technischen Infrastruktur.</w:t>
      </w:r>
    </w:p>
    <w:p>
      <w:r>
        <w:t xml:space="preserve">(6) Der IT-Planungsrat benennt unterhalb der Steuerungsgruppe eine Gesamtleitung NOOTS und richtet zur Unterstützung bei der Föderalen IT-Kooperation (FITKO) eine Geschäftsstelle ein. Die Vertretung der Gesamtleitung ist bei der betriebsverantwortlichen Stelle nach § 4 verortet. Die Gesamtleitung ist den Beschlüssen der Steuerungsgruppe gegenüber weisungsgebunden. Zu den Aufgaben der Gesamtleitung gehören insbesondere:</w:t>
      </w:r>
    </w:p>
    <w:p>
      <w:r>
        <w:t xml:space="preserve">a) Erarbeiten der Finanzplanung und Controlling und</w:t>
      </w:r>
    </w:p>
    <w:p>
      <w:r>
        <w:t xml:space="preserve">b) Vorbereitung und Umsetzung der Entscheidungen der Steuerungsgruppe zum Betrieb und zur Weiterentwicklung des NOOTS.</w:t>
      </w:r>
    </w:p>
    <w:p>
      <w:r>
        <w:t xml:space="preserve">(7) Der IT-Planungsrat richtet eine fachlich koordinierende Stelle bei der FITKO ein. Zu deren Aufgaben gehören insbesondere:</w:t>
      </w:r>
    </w:p>
    <w:p>
      <w:r>
        <w:t xml:space="preserve">a) Operative Zusammenarbeit mit den Fachministerkonferenzen bzw. deren zuständigen Arbeitsgremien,</w:t>
      </w:r>
    </w:p>
    <w:p>
      <w:r>
        <w:t xml:space="preserve">b) Steuerung und Koordination Datenmanagement des NOOTS und</w:t>
      </w:r>
    </w:p>
    <w:p>
      <w:r>
        <w:t xml:space="preserve">c) Mitarbeit bei der Architektur des NOOTS.</w:t>
      </w:r>
    </w:p>
    <w:p>
      <w:r>
        <w:rPr>
          <w:color w:val="555555"/>
          <w:sz w:val="17"/>
        </w:rPr>
        <w:t xml:space="preserve">Zitiervorschlag: § 3 SN-21239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https://recht.nulegal.eu/gesetze/SN-21239/3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